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FE" w:rsidRPr="002A4DB4" w:rsidRDefault="009E5AFE" w:rsidP="002A4DB4">
      <w:pPr>
        <w:rPr>
          <w:rFonts w:ascii="GHEA Grapalat" w:hAnsi="GHEA Grapalat"/>
        </w:rPr>
      </w:pPr>
    </w:p>
    <w:p w:rsid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9E5AFE" w:rsidRP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</w:t>
      </w:r>
    </w:p>
    <w:p w:rsidR="00033FDE" w:rsidRPr="007D443B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</w:t>
      </w:r>
    </w:p>
    <w:p w:rsidR="009E5AFE" w:rsidRPr="00793CF3" w:rsidRDefault="00033FDE" w:rsidP="009E5AFE">
      <w:pPr>
        <w:ind w:firstLine="708"/>
        <w:jc w:val="right"/>
        <w:rPr>
          <w:rFonts w:ascii="GHEA Grapalat" w:hAnsi="GHEA Grapalat" w:cs="Sylfaen"/>
          <w:lang w:val="hy-AM"/>
        </w:rPr>
      </w:pPr>
      <w:r w:rsidRPr="00793CF3">
        <w:rPr>
          <w:rFonts w:ascii="GHEA Grapalat" w:hAnsi="GHEA Grapalat" w:cs="Sylfaen"/>
          <w:lang w:val="hy-AM"/>
        </w:rPr>
        <w:t xml:space="preserve">ՀԱՎԵԼՎԱԾ </w:t>
      </w:r>
      <w:r w:rsidRPr="009E5AFE">
        <w:rPr>
          <w:rFonts w:ascii="GHEA Grapalat" w:hAnsi="GHEA Grapalat" w:cs="Sylfaen"/>
          <w:lang w:val="hy-AM"/>
        </w:rPr>
        <w:t>N1</w:t>
      </w:r>
      <w:r w:rsidRPr="00793CF3">
        <w:rPr>
          <w:rFonts w:ascii="GHEA Grapalat" w:hAnsi="GHEA Grapalat" w:cs="Sylfaen"/>
          <w:lang w:val="hy-AM"/>
        </w:rPr>
        <w:t xml:space="preserve"> </w:t>
      </w:r>
    </w:p>
    <w:p w:rsidR="009E5AFE" w:rsidRPr="00793CF3" w:rsidRDefault="00152A60" w:rsidP="009E5AFE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ԲԱՂՐԱՄՅԱՆ</w:t>
      </w:r>
      <w:r w:rsidR="00E8576B" w:rsidRPr="00E8576B">
        <w:rPr>
          <w:rFonts w:ascii="GHEA Grapalat" w:hAnsi="GHEA Grapalat" w:cs="Sylfaen"/>
          <w:lang w:val="hy-AM"/>
        </w:rPr>
        <w:t xml:space="preserve"> </w:t>
      </w:r>
      <w:r w:rsidR="00E8576B" w:rsidRPr="00793CF3">
        <w:rPr>
          <w:rFonts w:ascii="GHEA Grapalat" w:hAnsi="GHEA Grapalat" w:cs="Sylfaen"/>
          <w:lang w:val="hy-AM"/>
        </w:rPr>
        <w:t>ՀԱՄԱՅՆՔԻ ԱՎԱԳԱՆՈՒ</w:t>
      </w:r>
    </w:p>
    <w:p w:rsidR="009E5AFE" w:rsidRPr="00E8576B" w:rsidRDefault="00E8576B" w:rsidP="009E5AFE">
      <w:pPr>
        <w:ind w:firstLine="708"/>
        <w:jc w:val="right"/>
        <w:rPr>
          <w:rFonts w:ascii="GHEA Grapalat" w:hAnsi="GHEA Grapalat" w:cs="Sylfaen"/>
          <w:lang w:val="hy-AM"/>
        </w:rPr>
      </w:pPr>
      <w:r w:rsidRPr="00E8576B">
        <w:rPr>
          <w:rFonts w:ascii="GHEA Grapalat" w:hAnsi="GHEA Grapalat" w:cs="Sylfaen"/>
          <w:lang w:val="hy-AM"/>
        </w:rPr>
        <w:t>2022</w:t>
      </w:r>
      <w:r w:rsidRPr="00793CF3">
        <w:rPr>
          <w:rFonts w:ascii="GHEA Grapalat" w:hAnsi="GHEA Grapalat" w:cs="Sylfaen"/>
          <w:lang w:val="hy-AM"/>
        </w:rPr>
        <w:t>Թ</w:t>
      </w:r>
      <w:r w:rsidR="00152A60">
        <w:rPr>
          <w:rFonts w:ascii="GHEA Grapalat" w:hAnsi="GHEA Grapalat" w:cs="Sylfaen"/>
          <w:lang w:val="hy-AM"/>
        </w:rPr>
        <w:t>. ՆՈՅԵՄԲԵՐԻ</w:t>
      </w:r>
      <w:r w:rsidRPr="00E8576B">
        <w:rPr>
          <w:rFonts w:ascii="GHEA Grapalat" w:hAnsi="GHEA Grapalat" w:cs="Sylfaen"/>
          <w:lang w:val="hy-AM"/>
        </w:rPr>
        <w:t xml:space="preserve"> </w:t>
      </w:r>
      <w:r w:rsidR="00152A60">
        <w:rPr>
          <w:rFonts w:ascii="GHEA Grapalat" w:hAnsi="GHEA Grapalat" w:cs="Sylfaen"/>
          <w:lang w:val="hy-AM"/>
        </w:rPr>
        <w:t>2</w:t>
      </w:r>
      <w:r w:rsidR="00AC3A0C">
        <w:rPr>
          <w:rFonts w:ascii="GHEA Grapalat" w:hAnsi="GHEA Grapalat" w:cs="Sylfaen"/>
        </w:rPr>
        <w:t>9</w:t>
      </w:r>
      <w:r w:rsidRPr="00E8576B">
        <w:rPr>
          <w:rFonts w:ascii="GHEA Grapalat" w:hAnsi="GHEA Grapalat" w:cs="Sylfaen"/>
          <w:lang w:val="hy-AM"/>
        </w:rPr>
        <w:t>-Ի</w:t>
      </w:r>
    </w:p>
    <w:p w:rsidR="009E5AFE" w:rsidRPr="00E8576B" w:rsidRDefault="00E8576B" w:rsidP="009E5AFE">
      <w:pPr>
        <w:ind w:firstLine="708"/>
        <w:jc w:val="right"/>
        <w:rPr>
          <w:rFonts w:ascii="GHEA Grapalat" w:hAnsi="GHEA Grapalat" w:cs="Sylfaen"/>
          <w:lang w:val="hy-AM"/>
        </w:rPr>
      </w:pPr>
      <w:r w:rsidRPr="00E8576B">
        <w:rPr>
          <w:rFonts w:ascii="GHEA Grapalat" w:hAnsi="GHEA Grapalat" w:cs="Sylfaen"/>
          <w:lang w:val="hy-AM"/>
        </w:rPr>
        <w:t xml:space="preserve">ԹԻՎ </w:t>
      </w:r>
      <w:r w:rsidR="00152A60">
        <w:rPr>
          <w:rFonts w:ascii="GHEA Grapalat" w:hAnsi="GHEA Grapalat" w:cs="Sylfaen"/>
          <w:lang w:val="hy-AM"/>
        </w:rPr>
        <w:t xml:space="preserve">12 </w:t>
      </w:r>
      <w:r w:rsidRPr="00E8576B">
        <w:rPr>
          <w:rFonts w:ascii="GHEA Grapalat" w:hAnsi="GHEA Grapalat" w:cs="Sylfaen"/>
          <w:lang w:val="hy-AM"/>
        </w:rPr>
        <w:t>ՀԵՐԹ</w:t>
      </w:r>
      <w:r w:rsidR="00152A60">
        <w:rPr>
          <w:rFonts w:ascii="GHEA Grapalat" w:hAnsi="GHEA Grapalat" w:cs="Sylfaen"/>
          <w:lang w:val="hy-AM"/>
        </w:rPr>
        <w:t xml:space="preserve">ԱԿԱՆ </w:t>
      </w:r>
      <w:r w:rsidRPr="00E8576B">
        <w:rPr>
          <w:rFonts w:ascii="GHEA Grapalat" w:hAnsi="GHEA Grapalat" w:cs="Sylfaen"/>
          <w:lang w:val="hy-AM"/>
        </w:rPr>
        <w:t xml:space="preserve"> ՆԻՍՏԻ</w:t>
      </w:r>
    </w:p>
    <w:p w:rsidR="00E8576B" w:rsidRPr="00507BC1" w:rsidRDefault="008B3150" w:rsidP="009E5AFE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134</w:t>
      </w:r>
      <w:r w:rsidR="00E8576B" w:rsidRPr="00E8576B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Ա</w:t>
      </w:r>
      <w:r w:rsidR="00E8576B" w:rsidRPr="00E8576B">
        <w:rPr>
          <w:rFonts w:ascii="GHEA Grapalat" w:hAnsi="GHEA Grapalat" w:cs="Sylfaen"/>
          <w:lang w:val="hy-AM"/>
        </w:rPr>
        <w:t xml:space="preserve"> ՈՐՈՇՄԱՆ</w:t>
      </w: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E5AFE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ԿԱՐԳ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  <w:t xml:space="preserve">ՀԱՅԱՍՏԱՆԻ ՀԱՆՐԱՊԵՏՈՒԹՅԱՆ </w:t>
      </w:r>
      <w:r w:rsidR="00152A60">
        <w:rPr>
          <w:rFonts w:ascii="GHEA Grapalat" w:hAnsi="GHEA Grapalat" w:cs="Sylfaen"/>
          <w:b/>
          <w:sz w:val="24"/>
          <w:szCs w:val="24"/>
          <w:lang w:val="hy-AM"/>
        </w:rPr>
        <w:t>ԱՐՄԱՎԻՐ</w:t>
      </w:r>
      <w:r w:rsidR="00E8576B" w:rsidRPr="00E8576B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ՄԱՐԶԻ </w:t>
      </w:r>
      <w:r w:rsidR="00152A60">
        <w:rPr>
          <w:rFonts w:ascii="GHEA Grapalat" w:hAnsi="GHEA Grapalat" w:cs="Sylfaen"/>
          <w:b/>
          <w:sz w:val="24"/>
          <w:szCs w:val="24"/>
          <w:lang w:val="hy-AM"/>
        </w:rPr>
        <w:t>ԲԱՂՐԱՄՅԱՆ</w:t>
      </w:r>
      <w:r w:rsidRPr="00507BC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ՎԱՐՉԱԿԱՆ ՏԱՐԱԾՔՈՒՄ ԱՐՏԱՔԻՆ ԳՈՎԱԶԴ ՏԵՂԱԴՐԵԼՈՒ ԿԱՐԳՆ ՈՒ ՊԱՅՄԱՆՆԵՐԸ ՍԱՀՄԱՆԵԼՈՒ ՄԱՍԻՆ</w:t>
      </w: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  <w:t>1.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 1. Սույնով սահմանվում է Հայաստանի Հանրապետության </w:t>
      </w:r>
      <w:r w:rsidR="00152A60">
        <w:rPr>
          <w:rFonts w:ascii="GHEA Grapalat" w:hAnsi="GHEA Grapalat" w:cs="Sylfaen"/>
          <w:sz w:val="24"/>
          <w:szCs w:val="24"/>
          <w:lang w:val="hy-AM"/>
        </w:rPr>
        <w:t>Արմավիր</w:t>
      </w:r>
      <w:r w:rsidR="00E8576B" w:rsidRPr="00E8576B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մարզի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քում արտաքին գովազդ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կարգը (այսուհետ՝ կարգ)։ Սույն կարգն ընդունվել է «Գովազդի մասին» Հայաստանի Հանրապետության օրենքին համապատասխան։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2.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Արտաքին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</w:t>
      </w:r>
      <w:r>
        <w:rPr>
          <w:rFonts w:ascii="GHEA Grapalat" w:hAnsi="GHEA Grapalat" w:cs="Sylfaen"/>
          <w:sz w:val="24"/>
          <w:szCs w:val="24"/>
          <w:lang w:val="hy-AM"/>
        </w:rPr>
        <w:t>ն (այսուհետ՝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ովազդ) իրավաբանական կամ ֆիզիկական անձանց, ապրանքների, գաղափարների կամ նախաձեռնությունների մասին տեղեկատվությունների տարածումն է բնակավայրերում՝ տարբեր տեխնիկական միջոցների օգնությամբ (վահանակների, գրաժապավենների, լուսատախտակների, պլակատների, ազդագրերի, հայտարարությունների և այլնի) անորոշ թվով անձանց շրջանում և կոչված է ձևավորելու կամ պահպանելու հետաքրքրությունը տվյալ ֆիզիկական և իրավաբանական անձի, ապրանքի կամ նախաձեռնությունների նկատմամբ։</w:t>
      </w:r>
      <w:r w:rsidRPr="000D2C85">
        <w:rPr>
          <w:rFonts w:ascii="GHEA Grapalat" w:hAnsi="GHEA Grapalat" w:cs="Sylfaen"/>
          <w:sz w:val="24"/>
          <w:szCs w:val="24"/>
          <w:lang w:val="hy-AM"/>
        </w:rPr>
        <w:tab/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1D3EBD">
        <w:rPr>
          <w:rFonts w:ascii="GHEA Grapalat" w:hAnsi="GHEA Grapalat" w:cs="Sylfaen"/>
          <w:sz w:val="24"/>
          <w:szCs w:val="24"/>
          <w:lang w:val="hy-AM"/>
        </w:rPr>
        <w:t xml:space="preserve">3.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2002 թվականի մարտի 19-ի N 270 որոշման պահանջներին համապատասխան տեղադրվող ցուցանակների վրա զետեղվող տեղեկատվություն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 չի համարվում։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    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Սույն կարգը տարածվում է բոլոր այն տարածքների վրա, որտեղ պետք է տեղադրվի</w:t>
      </w:r>
      <w:r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գովազդը։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5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սեփականություն համարվող հողամասի վրա գովազդի </w:t>
      </w:r>
      <w:r w:rsidRPr="00B121C1">
        <w:rPr>
          <w:rFonts w:ascii="GHEA Grapalat" w:hAnsi="GHEA Grapalat" w:cs="Sylfaen"/>
          <w:sz w:val="24"/>
          <w:szCs w:val="24"/>
          <w:lang w:val="hy-AM"/>
        </w:rPr>
        <w:lastRenderedPageBreak/>
        <w:t>միջոց տեղադրելու համար Հայաստանի Հանրապետությ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ան հողային օրենսգրքով սահմանված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կարգով, կարգին և պայմաններին համապատասխան,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E8576B" w:rsidRPr="00E857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ղեկավարին դիմում ներկայացրած գովազդատուին (գովազդակրին) օգտագործման իրավունքով տրամադրվում է հողամաս՝ կնքելով հողօգտագործման համապատասխան պայմանագիր, հետագայում տվյալ կողմի հետ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նախապատվության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երկարաձգելու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պայմանով։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Այն դեպքում, երբ գովազդի միջոցը տեղադրվում է համայնքային սեփականություն չհանդիսացող տարածքում (կամ դրանց օգտագործմամբ), ապա գովազդի միջոցի տեղադրելու թույլտվության մասին որոշումը ընդունում է համայնքի ղեկավարը՝ տվյալ տարածքի սեփականատիրոջ կամ տարածքի օգտագործողի համաձայնության առկայության դեպքում։ Ընդ որում, գովազդատուի և տարածքի սեփականատիրոջ միջև հարաբերությունները կարգավորվում են նրանց միջև կնքված քաղաքացիաիրավական պայմանագրով։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Գովազդի միջոց տեղադրելու թույլտվության մասին որոշման նախագծին կցվում է գովազդատուի ու տարածքի սեփականատիրոջ միջև կնքված պայմանագրի պատճ</w:t>
      </w:r>
      <w:r>
        <w:rPr>
          <w:rFonts w:ascii="GHEA Grapalat" w:hAnsi="GHEA Grapalat" w:cs="Sylfaen"/>
          <w:sz w:val="24"/>
          <w:szCs w:val="24"/>
          <w:lang w:val="hy-AM"/>
        </w:rPr>
        <w:t>ենը։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Գովազդի տեղադրումը թույլատրվում է, եթե այն համապատասխանում է «Գովազդի մասին» Հայաստանի Հանրապետության օրենքին, իսկ դեղերի, բուժտեխնիկայի և բուժական մեթոդների գովազդի դեպքում՝ նաև Հայաստանի Հանրապետության կառավարության 2015 թվականի նոյեմբերի 26-ի N 1422-Ն որոշման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պահանջներին։</w:t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</w:t>
      </w: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2. ԳՈՎԱԶԴ ՏԵՂԱԴՐԵԼՈՒ ԹՈՒՅԼՏՎՈՒԹՅՈՒՆԸ</w:t>
      </w:r>
    </w:p>
    <w:p w:rsidR="009E5AFE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152A60">
        <w:rPr>
          <w:rFonts w:ascii="GHEA Grapalat" w:hAnsi="GHEA Grapalat" w:cs="Courier New"/>
          <w:sz w:val="24"/>
          <w:szCs w:val="24"/>
          <w:lang w:val="hy-AM"/>
        </w:rPr>
        <w:t>Բաղրամյան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տարածք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 տեղադրելու թույլտվությունը «Տեղական ինքնակառավարման մասին» Հայաստանի Հանրապետության օրենքի և սույն կարգի համաձայն տրվում է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E8576B" w:rsidRPr="00E857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որոշմամբ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E5AFE" w:rsidRPr="00B121C1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10.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որոշմանը կցվում են թույլտվությունը և գովազդի էսքիզը՝ համաձայն սույն կարգին կցված Ձև 1-ի և Ձև 2-ի։</w:t>
      </w:r>
    </w:p>
    <w:p w:rsidR="009E5AFE" w:rsidRPr="00B121C1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11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Գովազդային միջոց տեղադրելու համար գովազդատուն (գովազդակիրը) դիմում-հայտ է ներկայացնում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ղեկավարին` նշելով իր անունը, ազգանունը, հաշվառման վայրը, գովազդի տեղադրման վայրը և ժամկետը, ինչպես նաև հարցի լուծման համար նշանակություն ունեցող այլ հանգամանքները։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12.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Հայտին կցվում է համապատասխան պատկերով և գրառումներով գովազդի միջոցի էսքիզը, որտեղ նշվում են գովազդի արտաքին չափերը, գովազդի տեղադրման ձևը (վահանակ, լուսատախտակ, գրաժապավեն, պլակատներ և այլն) և տեխնիկական լուծումները, իսկ դեղերի, բուժտեխնիկայի և բուժական մեթոդների գովազդի դեպքում՝ նաև Հայաստանի Հանրապետության առողջապահության նախարարության համաձայնությունը։</w:t>
      </w:r>
    </w:p>
    <w:p w:rsidR="009E5AFE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ղեկավարը գովազդի միջոց տեղադրելու համար գովազդատուից (գովազդակրից) դիմում-հայտը և անհրաժեշտ փաստաթղթերը ստանալուց հետո պարզում է գովազդային միջոցի համապատասխանությունը կարգի և պայմանների պահանջներին (եթե այն թերի է, ետ է վերադարձվում` թերությունը վերացնելու և նորից 15-օրյա ժամկետում ներկայացնելու համար), և 15 օրվա ընթացքում համայնքի ղեկավարի որոշմամբ </w:t>
      </w:r>
      <w:r>
        <w:rPr>
          <w:rFonts w:ascii="GHEA Grapalat" w:hAnsi="GHEA Grapalat" w:cs="Sylfaen"/>
          <w:sz w:val="24"/>
          <w:szCs w:val="24"/>
          <w:lang w:val="hy-AM"/>
        </w:rPr>
        <w:t>տրվում է 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թույլտվություն, որում նշվում են՝ գովազդատուի (գովազդակրի) անվանումը, գովազդի չափերը, տեղադրման ձևը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գովազդային նյութերի անվանումը, թույլտվության գործողության ժամկետը և կցվում է գովազդի էսքիզը։</w:t>
      </w:r>
    </w:p>
    <w:p w:rsidR="009E5AFE" w:rsidRPr="00B121C1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>14.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որոշման նախագծերը նախապատրաստում է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E8576B" w:rsidRPr="00E8576B">
        <w:rPr>
          <w:rFonts w:ascii="GHEA Grapalat" w:hAnsi="GHEA Grapalat" w:cs="Sylfaen"/>
          <w:sz w:val="24"/>
          <w:szCs w:val="24"/>
          <w:lang w:val="hy-AM"/>
        </w:rPr>
        <w:t>ի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համայնքապետարանի աշխատակազմի քաղաքաշինության բաժինը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(առկայության դեպքում)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կամ համապատասխան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համայնքային </w:t>
      </w:r>
      <w:r w:rsidRPr="009F1797">
        <w:rPr>
          <w:rFonts w:ascii="GHEA Grapalat" w:hAnsi="GHEA Grapalat" w:cs="Sylfaen"/>
          <w:sz w:val="24"/>
          <w:szCs w:val="24"/>
          <w:lang w:val="hy-AM"/>
        </w:rPr>
        <w:t>պաշտոնատար անձը</w:t>
      </w:r>
      <w:r w:rsidRPr="00B121C1">
        <w:rPr>
          <w:rFonts w:ascii="GHEA Grapalat" w:hAnsi="GHEA Grapalat" w:cs="Sylfaen"/>
          <w:sz w:val="24"/>
          <w:szCs w:val="24"/>
          <w:lang w:val="hy-AM"/>
        </w:rPr>
        <w:t>՝ նախագծին կցելով համապատասխան եզրակացությունը։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Pr="00661E3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15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Սույն կարգ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ի 4-րդ կետի համապատասխան՝ հատկացված տարածքի նույն հասցեում գովազդ տեղադրելու համար մեկից ավելի գովազդատուների (գովազդակիրների) հայտերի առկայության դեպքում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E8576B" w:rsidRPr="00E857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ղեկավարը «Հրապարակային սակարկությունների մասին» Հայաստանի </w:t>
      </w:r>
      <w:r w:rsidRPr="00B121C1">
        <w:rPr>
          <w:rFonts w:ascii="GHEA Grapalat" w:hAnsi="GHEA Grapalat" w:cs="Sylfaen"/>
          <w:sz w:val="24"/>
          <w:szCs w:val="24"/>
          <w:lang w:val="hy-AM"/>
        </w:rPr>
        <w:lastRenderedPageBreak/>
        <w:t>Հանրապետության օրենքի համաձայն հայտարարում և անց է կացնում մրցույթ, որի արդյունքներով մրցույթի հաղթողին տրվում է գովազդի տեղադրման թույլտվություն։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16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Գովազդի միջոց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վերաբերյալ գովազդատուի (գովազդակրի) դիմում-հայտը 15 օրյա ժամկետում կարող է մերժվել այն դեպքում եթե՝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1) ներկայացված փաստաթղթերը չեն համապատասխանում սույն կարգի և պայմանների պահանջներին.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2) խախտվում են «Գովազդի մասին», «Լեզվի մասին» Հայաստանի Հանրապետության օրենքների և այլ իրավական ակտերի պահանջները.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3)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գովազդի միջոցի տեղադրմամբ խոչընդոտվում է ճանապարհային երթևեկությունը կամ քաղաքացիների անցուդարձը, խախտվում են այլ անձանց օրենքով պաշտպանված իրավունքներն ու շահերը։ 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>
        <w:rPr>
          <w:rFonts w:ascii="GHEA Grapalat" w:hAnsi="GHEA Grapalat" w:cs="Sylfaen"/>
          <w:sz w:val="24"/>
          <w:szCs w:val="24"/>
          <w:lang w:val="hy-AM"/>
        </w:rPr>
        <w:t>17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միջոց տեղադրելու հայտը մերժելու դեպքում՝ պետք է հստակ նշվեն մերժման պատճառներն ու հիմքերը։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>
        <w:rPr>
          <w:rFonts w:ascii="GHEA Grapalat" w:hAnsi="GHEA Grapalat" w:cs="Sylfaen"/>
          <w:sz w:val="24"/>
          <w:szCs w:val="24"/>
          <w:lang w:val="hy-AM"/>
        </w:rPr>
        <w:t>18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նյութերը գովազդային միջոցների վրա տեղադրելու ժամանակ, ինչպես նաև արդեն տեղադրված գովազդվող տեղեկատվության փոփոխման դեպքում, գովազդատուն (գովազդակիրը) մինչև գովազդային նյութերի տեղադրում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կամ արդեն տեղադրված գովազդվող տեղեկատվության փոփոխումը, այդ մասին գրավոր տեղեկացնում է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ղեկավարին՝ կից ներկայացնելով համապատասխան պատկերով և գրառումներով գովազդի էսքիզը, որտեղ նշվում են նաև գովազդի արտաքին չափերը։ Գովազդի էսքիզը համաձայնեցվում է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 հետ։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Գովազդը պետք է համապատասխանի «Գովազդի մասին», «Լեզվի մասին» Հայաստանի Հանրապետության օրենքների, սույն կարգի, պայմանների և այլ իրավական </w:t>
      </w:r>
      <w:r>
        <w:rPr>
          <w:rFonts w:ascii="GHEA Grapalat" w:hAnsi="GHEA Grapalat" w:cs="Sylfaen"/>
          <w:sz w:val="24"/>
          <w:szCs w:val="24"/>
          <w:lang w:val="hy-AM"/>
        </w:rPr>
        <w:t>ակ</w:t>
      </w:r>
      <w:r w:rsidRPr="00B121C1">
        <w:rPr>
          <w:rFonts w:ascii="GHEA Grapalat" w:hAnsi="GHEA Grapalat" w:cs="Sylfaen"/>
          <w:sz w:val="24"/>
          <w:szCs w:val="24"/>
          <w:lang w:val="hy-AM"/>
        </w:rPr>
        <w:t>տերի պահանջներին։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20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Գովազդի տեղադրման միջոցի մոնտաժային աշխատանքները կատարվում են հայտատուի պատվերով՝ մասնագիտացված կազմակերպությունների կողմից մշակված և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E8576B" w:rsidRPr="00E857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 հետ համաձայնեցված նախագծով։ 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551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 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21. </w:t>
      </w:r>
      <w:r>
        <w:rPr>
          <w:rFonts w:ascii="GHEA Grapalat" w:hAnsi="GHEA Grapalat" w:cs="Sylfaen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22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ովազդատուն (գովազդակիրը) իրավասու չէ գովազդի տեղադրման համար իրեն տրված թույլտվությունը փոխանցել կամ օտարել այլ անձի։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ժամկետը լրանալու, պայմանագրով նախատեսված հիմքերով այն վաղաժամկետ դադարելու, լուծելու դեպքում գովազդատուն (գովազդակիրը) պարտավոր է ողջամիտ ժամկետում իր միջոցներով ապամոնտաժել գովազդը և դրա տեղաբաշխման միջոցները, իսկ զբաղեցրած տարածքը բերել նախկին վիճակին։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Սույն կարգով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նախատեսված պարտավորությունները գովազդատուի (գովազդակրի) կողմից չկատարելու կամ ոչ պատշաճ կատարելու դեպքում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 համաձայն՝ գովազդի (գովազդային միջոցի) ապամոնտաժումն իրականացվում է համայնքի կողմից՝ օրենքով սահմանված կարգով գովազդատուից (գովազդակրից) ստանալով համապատասխան փոխհատուցում։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3. ՏԵՂԱԿԱՆ ՏՈՒՐՔԵՐԻ ԵՎ ՀՈՂՕԳՏԱԳՈՐԾՄԱՆ ՎՃԱՐԻ ՄՈՒԾՄԱՆ ԿԱՐԳԸ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152A60">
        <w:rPr>
          <w:rFonts w:ascii="GHEA Grapalat" w:hAnsi="GHEA Grapalat" w:cs="Courier New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«Տեղական տուրքերի և վճարների մասին» Հայաստանի Հանրապետության օրենքին համապատասխան։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Այն դեպքում, երբ թույլտվության և պայմանագրի գործողության ընթացքում գովազդվող տեղեկատվությունը փոփոխվում է, որի համար օրենքով նախատեսված է տեղական տուրքի այլ դրույքաչափ, գովազդատուն (գովազդակիրը) վճարումը կատարում է «Տեղական տուրքերի և վճարների մասին» Հայաստանի Հանրապետության օրենքի համաձայն՝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կողմից հաստատված համապատասխան դրույքաչափերով։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lastRenderedPageBreak/>
        <w:t>   </w:t>
      </w:r>
      <w:r>
        <w:rPr>
          <w:rFonts w:ascii="GHEA Grapalat" w:hAnsi="GHEA Grapalat" w:cs="Sylfaen"/>
          <w:sz w:val="24"/>
          <w:szCs w:val="24"/>
          <w:lang w:val="hy-AM"/>
        </w:rPr>
        <w:t>27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Սույն կարգով նախատեսված հողօգտագործման վճարի չափը սահմանվում է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կողմից։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Սույն կարգով համապատասխան վճարված գումարներն ուղղվում են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բյուջե։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համայնքի տարածքում գովազդ տեղադրելու գործընթացի նկատմամբ հսկողությունն օրենքով սահմանված կարգով իրականացնում է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ղեկավարը, իսկ գովազդի մասին օրենսդրության պահպանման նկատմամբ վերահսկողությունը՝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E8576B" w:rsidRPr="00E8576B">
        <w:rPr>
          <w:rFonts w:ascii="GHEA Grapalat" w:hAnsi="GHEA Grapalat" w:cs="Sylfaen"/>
          <w:sz w:val="24"/>
          <w:szCs w:val="24"/>
          <w:lang w:val="hy-AM"/>
        </w:rPr>
        <w:t>ի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մարզպետը։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30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օրենսդրության պահանջների խախտումը առաջացնում է օրենքով նախատեսված պատասխանատվություն։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                                                              </w:t>
      </w: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B121C1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E8576B" w:rsidRPr="00152A60" w:rsidRDefault="00E8576B" w:rsidP="007D443B">
      <w:pPr>
        <w:rPr>
          <w:rFonts w:ascii="GHEA Grapalat" w:hAnsi="GHEA Grapalat" w:cs="Sylfaen"/>
          <w:lang w:val="hy-AM"/>
        </w:rPr>
      </w:pPr>
      <w:bookmarkStart w:id="0" w:name="_GoBack"/>
      <w:bookmarkEnd w:id="0"/>
    </w:p>
    <w:p w:rsidR="00E8576B" w:rsidRPr="007D443B" w:rsidRDefault="00E8576B" w:rsidP="009E5AFE">
      <w:pPr>
        <w:jc w:val="right"/>
        <w:rPr>
          <w:rFonts w:ascii="GHEA Grapalat" w:hAnsi="GHEA Grapalat" w:cs="Sylfaen"/>
          <w:lang w:val="hy-AM"/>
        </w:rPr>
      </w:pPr>
    </w:p>
    <w:p w:rsidR="003947EB" w:rsidRPr="00152A60" w:rsidRDefault="003947EB" w:rsidP="00E8576B">
      <w:pPr>
        <w:ind w:firstLine="708"/>
        <w:jc w:val="right"/>
        <w:rPr>
          <w:rFonts w:ascii="GHEA Grapalat" w:hAnsi="GHEA Grapalat" w:cs="Sylfaen"/>
          <w:lang w:val="hy-AM"/>
        </w:rPr>
      </w:pPr>
      <w:r w:rsidRPr="00152A60">
        <w:rPr>
          <w:rFonts w:ascii="GHEA Grapalat" w:hAnsi="GHEA Grapalat" w:cs="Sylfaen"/>
          <w:lang w:val="hy-AM"/>
        </w:rPr>
        <w:lastRenderedPageBreak/>
        <w:t>ՀԱՎԵԼՎԱԾ 2</w:t>
      </w:r>
    </w:p>
    <w:p w:rsidR="00E8576B" w:rsidRPr="00793CF3" w:rsidRDefault="00152A60" w:rsidP="00E8576B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ԲԱՂՐԱՄՅԱՆ</w:t>
      </w:r>
      <w:r w:rsidR="00E8576B" w:rsidRPr="00E8576B">
        <w:rPr>
          <w:rFonts w:ascii="GHEA Grapalat" w:hAnsi="GHEA Grapalat" w:cs="Sylfaen"/>
          <w:lang w:val="hy-AM"/>
        </w:rPr>
        <w:t xml:space="preserve"> </w:t>
      </w:r>
      <w:r w:rsidR="00E8576B" w:rsidRPr="00793CF3">
        <w:rPr>
          <w:rFonts w:ascii="GHEA Grapalat" w:hAnsi="GHEA Grapalat" w:cs="Sylfaen"/>
          <w:lang w:val="hy-AM"/>
        </w:rPr>
        <w:t>ՀԱՄԱՅՆՔԻ ԱՎԱԳԱՆՈՒ</w:t>
      </w:r>
    </w:p>
    <w:p w:rsidR="00E8576B" w:rsidRPr="00E8576B" w:rsidRDefault="00E8576B" w:rsidP="00E8576B">
      <w:pPr>
        <w:ind w:firstLine="708"/>
        <w:jc w:val="right"/>
        <w:rPr>
          <w:rFonts w:ascii="GHEA Grapalat" w:hAnsi="GHEA Grapalat" w:cs="Sylfaen"/>
          <w:lang w:val="hy-AM"/>
        </w:rPr>
      </w:pPr>
      <w:r w:rsidRPr="00E8576B">
        <w:rPr>
          <w:rFonts w:ascii="GHEA Grapalat" w:hAnsi="GHEA Grapalat" w:cs="Sylfaen"/>
          <w:lang w:val="hy-AM"/>
        </w:rPr>
        <w:t>2022</w:t>
      </w:r>
      <w:r w:rsidRPr="00793CF3">
        <w:rPr>
          <w:rFonts w:ascii="GHEA Grapalat" w:hAnsi="GHEA Grapalat" w:cs="Sylfaen"/>
          <w:lang w:val="hy-AM"/>
        </w:rPr>
        <w:t>Թ</w:t>
      </w:r>
      <w:r w:rsidR="00152A60">
        <w:rPr>
          <w:rFonts w:ascii="GHEA Grapalat" w:hAnsi="GHEA Grapalat" w:cs="Sylfaen"/>
          <w:lang w:val="hy-AM"/>
        </w:rPr>
        <w:t>. ՆՈՅԵՄԲԵՐ</w:t>
      </w:r>
      <w:r w:rsidRPr="00E8576B">
        <w:rPr>
          <w:rFonts w:ascii="GHEA Grapalat" w:hAnsi="GHEA Grapalat" w:cs="Sylfaen"/>
          <w:lang w:val="hy-AM"/>
        </w:rPr>
        <w:t>Ի</w:t>
      </w:r>
      <w:r w:rsidR="00152A60">
        <w:rPr>
          <w:rFonts w:ascii="GHEA Grapalat" w:hAnsi="GHEA Grapalat" w:cs="Sylfaen"/>
          <w:lang w:val="hy-AM"/>
        </w:rPr>
        <w:t xml:space="preserve"> 25</w:t>
      </w:r>
      <w:r w:rsidRPr="00E8576B">
        <w:rPr>
          <w:rFonts w:ascii="GHEA Grapalat" w:hAnsi="GHEA Grapalat" w:cs="Sylfaen"/>
          <w:lang w:val="hy-AM"/>
        </w:rPr>
        <w:t>-Ի</w:t>
      </w:r>
    </w:p>
    <w:p w:rsidR="00E8576B" w:rsidRPr="00E8576B" w:rsidRDefault="00152A60" w:rsidP="00E8576B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ԹԻՎ 12 </w:t>
      </w:r>
      <w:r w:rsidR="00E8576B" w:rsidRPr="00E8576B">
        <w:rPr>
          <w:rFonts w:ascii="GHEA Grapalat" w:hAnsi="GHEA Grapalat" w:cs="Sylfaen"/>
          <w:lang w:val="hy-AM"/>
        </w:rPr>
        <w:t>ՀԵՐԹ</w:t>
      </w:r>
      <w:r>
        <w:rPr>
          <w:rFonts w:ascii="GHEA Grapalat" w:hAnsi="GHEA Grapalat" w:cs="Sylfaen"/>
          <w:lang w:val="hy-AM"/>
        </w:rPr>
        <w:t>ԱԿԱՆ</w:t>
      </w:r>
      <w:r w:rsidR="00E8576B" w:rsidRPr="00E8576B">
        <w:rPr>
          <w:rFonts w:ascii="GHEA Grapalat" w:hAnsi="GHEA Grapalat" w:cs="Sylfaen"/>
          <w:lang w:val="hy-AM"/>
        </w:rPr>
        <w:t xml:space="preserve"> ՆԻՍՏԻ</w:t>
      </w:r>
    </w:p>
    <w:p w:rsidR="00E8576B" w:rsidRPr="00507BC1" w:rsidRDefault="008B3150" w:rsidP="00E8576B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134</w:t>
      </w:r>
      <w:r w:rsidR="00E8576B" w:rsidRPr="00E8576B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Ա</w:t>
      </w:r>
      <w:r w:rsidR="00E8576B" w:rsidRPr="00E8576B">
        <w:rPr>
          <w:rFonts w:ascii="GHEA Grapalat" w:hAnsi="GHEA Grapalat" w:cs="Sylfaen"/>
          <w:lang w:val="hy-AM"/>
        </w:rPr>
        <w:t xml:space="preserve"> ՈՐՈՇՄԱՆ</w:t>
      </w:r>
    </w:p>
    <w:p w:rsidR="009E5AFE" w:rsidRPr="00E8576B" w:rsidRDefault="009E5AFE" w:rsidP="009E5AFE">
      <w:pPr>
        <w:jc w:val="center"/>
        <w:rPr>
          <w:rFonts w:ascii="GHEA Grapalat" w:hAnsi="GHEA Grapalat" w:cs="Sylfaen"/>
          <w:b/>
          <w:szCs w:val="24"/>
          <w:lang w:val="hy-AM"/>
        </w:rPr>
      </w:pPr>
      <w:r w:rsidRPr="00E8576B">
        <w:rPr>
          <w:rFonts w:ascii="GHEA Grapalat" w:hAnsi="GHEA Grapalat" w:cs="Sylfaen"/>
          <w:b/>
          <w:szCs w:val="24"/>
          <w:lang w:val="hy-AM"/>
        </w:rPr>
        <w:t xml:space="preserve">ՊԱՅՄԱՆՆԵՐ </w:t>
      </w:r>
    </w:p>
    <w:p w:rsidR="009E5AFE" w:rsidRPr="00E8576B" w:rsidRDefault="009E5AFE" w:rsidP="009E5AFE">
      <w:pPr>
        <w:jc w:val="center"/>
        <w:rPr>
          <w:rFonts w:ascii="GHEA Grapalat" w:hAnsi="GHEA Grapalat" w:cs="Sylfaen"/>
          <w:b/>
          <w:szCs w:val="24"/>
          <w:lang w:val="hy-AM"/>
        </w:rPr>
      </w:pPr>
      <w:r w:rsidRPr="00E8576B">
        <w:rPr>
          <w:rFonts w:ascii="GHEA Grapalat" w:hAnsi="GHEA Grapalat" w:cs="Sylfaen"/>
          <w:b/>
          <w:szCs w:val="24"/>
          <w:lang w:val="hy-AM"/>
        </w:rPr>
        <w:t xml:space="preserve">ՀԱՅԱՍՏԱՆԻ ՀԱՆՐԱՊԵՏՈՒԹՅԱՆ </w:t>
      </w:r>
      <w:r w:rsidR="00152A60">
        <w:rPr>
          <w:rFonts w:ascii="GHEA Grapalat" w:hAnsi="GHEA Grapalat" w:cs="Sylfaen"/>
          <w:b/>
          <w:szCs w:val="24"/>
          <w:lang w:val="hy-AM"/>
        </w:rPr>
        <w:t>ԲԱՂՐԱՄՅԱՆ</w:t>
      </w:r>
      <w:r w:rsidR="003947EB" w:rsidRPr="003947EB">
        <w:rPr>
          <w:rFonts w:ascii="GHEA Grapalat" w:hAnsi="GHEA Grapalat" w:cs="Sylfaen"/>
          <w:b/>
          <w:szCs w:val="24"/>
          <w:lang w:val="hy-AM"/>
        </w:rPr>
        <w:t>Ի</w:t>
      </w:r>
      <w:r w:rsidRPr="00E8576B">
        <w:rPr>
          <w:rFonts w:ascii="GHEA Grapalat" w:hAnsi="GHEA Grapalat" w:cs="Sylfaen"/>
          <w:b/>
          <w:szCs w:val="24"/>
          <w:lang w:val="hy-AM"/>
        </w:rPr>
        <w:t xml:space="preserve"> ՄԱՐԶԻ</w:t>
      </w:r>
      <w:r w:rsidR="003947EB" w:rsidRPr="003947EB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152A60">
        <w:rPr>
          <w:rFonts w:ascii="GHEA Grapalat" w:hAnsi="GHEA Grapalat" w:cs="Sylfaen"/>
          <w:b/>
          <w:szCs w:val="24"/>
          <w:lang w:val="hy-AM"/>
        </w:rPr>
        <w:t>ԲԱՂՐԱՄՅԱՆ</w:t>
      </w:r>
      <w:r w:rsidRPr="00E8576B">
        <w:rPr>
          <w:rFonts w:ascii="GHEA Grapalat" w:hAnsi="GHEA Grapalat" w:cs="Sylfaen"/>
          <w:b/>
          <w:szCs w:val="24"/>
          <w:lang w:val="hy-AM"/>
        </w:rPr>
        <w:t xml:space="preserve">  ՀԱՄԱՅՆՔԻ ՎԱՐՉԱԿԱՆ ՏԱՐԱԾՔՈՒՄ ԱՐՏԱՔԻՆ ԳՈՎԱԶԴ ՏԵՂԱԴՐԵԼՈՒ </w:t>
      </w:r>
    </w:p>
    <w:p w:rsidR="009E5AFE" w:rsidRPr="00E8576B" w:rsidRDefault="009E5AFE" w:rsidP="009E5AFE">
      <w:pPr>
        <w:jc w:val="both"/>
        <w:rPr>
          <w:rFonts w:ascii="GHEA Grapalat" w:hAnsi="GHEA Grapalat" w:cs="Sylfaen"/>
          <w:b/>
          <w:szCs w:val="24"/>
          <w:lang w:val="hy-AM"/>
        </w:rPr>
      </w:pPr>
    </w:p>
    <w:p w:rsidR="009E5AFE" w:rsidRPr="00E8576B" w:rsidRDefault="009E5AFE" w:rsidP="009E5AFE">
      <w:pPr>
        <w:jc w:val="center"/>
        <w:rPr>
          <w:rFonts w:ascii="GHEA Grapalat" w:hAnsi="GHEA Grapalat" w:cs="Sylfaen"/>
          <w:b/>
          <w:sz w:val="22"/>
          <w:szCs w:val="24"/>
          <w:lang w:val="hy-AM"/>
        </w:rPr>
      </w:pPr>
      <w:r w:rsidRPr="00E8576B">
        <w:rPr>
          <w:rFonts w:ascii="GHEA Grapalat" w:hAnsi="GHEA Grapalat" w:cs="Sylfaen"/>
          <w:b/>
          <w:sz w:val="22"/>
          <w:szCs w:val="24"/>
          <w:lang w:val="hy-AM"/>
        </w:rPr>
        <w:t>1. ԸՆԴՀԱՆՈՒՐ ԴՐՈՒՅԹՆԵՐ</w:t>
      </w:r>
    </w:p>
    <w:p w:rsidR="009E5AFE" w:rsidRPr="00E8576B" w:rsidRDefault="009E5AFE" w:rsidP="009E5AFE">
      <w:pPr>
        <w:jc w:val="both"/>
        <w:rPr>
          <w:rFonts w:ascii="GHEA Grapalat" w:hAnsi="GHEA Grapalat" w:cs="Sylfaen"/>
          <w:sz w:val="22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1.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</w:t>
      </w:r>
      <w:r w:rsidR="00152A60">
        <w:rPr>
          <w:rFonts w:ascii="GHEA Grapalat" w:hAnsi="GHEA Grapalat" w:cs="Courier New"/>
          <w:sz w:val="24"/>
          <w:szCs w:val="24"/>
          <w:lang w:val="hy-AM"/>
        </w:rPr>
        <w:t>Արմավիր</w:t>
      </w:r>
      <w:r w:rsidR="003947EB" w:rsidRPr="003947EB">
        <w:rPr>
          <w:rFonts w:ascii="GHEA Grapalat" w:hAnsi="GHEA Grapalat" w:cs="Courier New"/>
          <w:sz w:val="24"/>
          <w:szCs w:val="24"/>
          <w:lang w:val="hy-AM"/>
        </w:rPr>
        <w:t>ի</w:t>
      </w:r>
      <w:r w:rsidR="003947EB">
        <w:rPr>
          <w:rFonts w:ascii="GHEA Grapalat" w:hAnsi="GHEA Grapalat" w:cs="Courier New"/>
          <w:sz w:val="24"/>
          <w:szCs w:val="24"/>
          <w:lang w:val="hy-AM"/>
        </w:rPr>
        <w:t xml:space="preserve"> մարզի</w:t>
      </w:r>
      <w:r w:rsidR="003947EB" w:rsidRPr="003947EB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52A60">
        <w:rPr>
          <w:rFonts w:ascii="GHEA Grapalat" w:hAnsi="GHEA Grapalat" w:cs="Courier New"/>
          <w:sz w:val="24"/>
          <w:szCs w:val="24"/>
          <w:lang w:val="hy-AM"/>
        </w:rPr>
        <w:t>Բաղրամյան</w:t>
      </w:r>
      <w:r w:rsidR="003947EB" w:rsidRPr="003947EB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համայնքի վարչական  տարածքում արտաքին գովազդ տեղադրելու պայմանները (այսուհետ՝ պայմաններ) մշակվել են «Գովազդի մասին» ՀՀ օրենքի, «Հայաստանի Հանրապետության </w:t>
      </w:r>
      <w:r w:rsidR="00152A60">
        <w:rPr>
          <w:rFonts w:ascii="GHEA Grapalat" w:hAnsi="GHEA Grapalat" w:cs="Sylfaen"/>
          <w:sz w:val="24"/>
          <w:szCs w:val="24"/>
          <w:lang w:val="hy-AM"/>
        </w:rPr>
        <w:t>Արմավիր</w:t>
      </w:r>
      <w:r w:rsidR="003947EB" w:rsidRPr="003947EB">
        <w:rPr>
          <w:rFonts w:ascii="GHEA Grapalat" w:hAnsi="GHEA Grapalat" w:cs="Sylfaen"/>
          <w:sz w:val="24"/>
          <w:szCs w:val="24"/>
          <w:lang w:val="hy-AM"/>
        </w:rPr>
        <w:t>ի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տարածքում արտաքին գովազդ տեղադրելու կարգին» (այսուհետ՝ կարգ) համապատասխան։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վարչական տարածքում արտաքին գովազդի (այսուհետ՝ գովազդ) միջոցների տեղադրումը թույլատրվում է սույն կարգի և պայմանների պահանջներին համապատասխան։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2. ԳՈՎԱԶԴԻ ՄԻՋՈՑՆԵՐԸ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3.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ովազդի միջոց են համարվում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տարածքում տեղադրվող գովազդային տեղեկատու կրողները՝ անկախ շենքերի, շինությունների և հողամասերի սեփականության ձևից։ Դրանց թվում են վահանակային կայանքները (վահանակները), տանիքային կայանքները, մեծանկարները (պաննո), էկրանները, բարձակները, ցուցատախտակները, շենքերի մուտքերի և պատուհանների հովհարները (մարկիզ), գրաժապավենները (տրանսպարանտ) և այլն։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3. ԳՈՎԱԶԴ ՏԵՂԱԴՐԵԼՈՒ ՊԱՅՄԱՆՆԵՐԸ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Գովազդ տեղադրելուն ներկայացվող պահանջները՝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  1) գովազդի միջոցները չպետք է՝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lastRenderedPageBreak/>
        <w:t xml:space="preserve">     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խոչընդոտեն ճանապարհային երթևեկության ապահովմանն ու անվտանգությանը, փողոցների ու մայթերի անցմանը, խանգարեն փողոցների ու մայթերի մեքենայացված մաքրմանը.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  բ.  սահմանափակեն տեսանելիությանը ավտոճանապարհների վրա.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գ. առաջացնեն երթևեկության մասնակիցների կուրացում լույսով, այդ թվում նաև անդրադարձող.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դ. արգելք հանդիսանան հետիոտնի շարժմանը.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  <w:t xml:space="preserve">     ե.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լինեն ճանապարհների վտանգավոր հատվածներում և տեղադրվեն լուսամփոփների ու ճանապարհային կանգնակների վրա.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ցանկացած տիպի գովազդի միջոցների տեղադրումը պետք է հիմնավորել համապատասխան նախագծային և տեսողական ընկալման դիտակետից.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3) գովազդ տեղադրել չի թույլատրվում՝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բնակելի շենքերի մոտ, եթե դրանք հանդիսանում են աղմուկի, տատանման, հզոր ճառագայթման և էլեկտրամագնիսական դաշտի աղբյուր.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թանգարաններում, պատմական և ճարտարապետական հուշարձանների վրա, ինչպես նաև պետական կառավարման և տեղական ինքնակառավարման մարմինների շենքերի վրա և դրանց տարածքում.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«Պատմության և մշակույթի անշարժ հուշարձանների ու պատմական միջավայրի պահպանության և օգտագործման մասին» Հայաստանի Հանրապետության օրենքով սահմանված պատմության և մշակույթի անշարժ հուշարձանների վրա և դրանց տարածքներում (պետական հաշվառման վերցրած պատմական, գիտական, գեղարվեստական կամ մշակույթային այլ արժեք ունեցող կառույցների, դրանց համակառույցների և համալիրների, իրենց գրված կամ պատմականորեն իրենց հետ կապված տարածքների վրա, ինչպես նաև պատմամշակութային արգելանոցներում)։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ճանապարհային ցանցում, երբ այն անհամապատասխան է ճանապարհատրանսպորտային տվյալ իրավիճակի հետ և նմանություն ունի (արտաքին տեսքով, պատկերով և ձայնային էֆեկտով) ճանապարհային նշանների, ճանապարհային երթևեկության կազմակերպման և այլ տեխնիկական միջոցների հետ.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հրապարակներում, ինչպես նաև դրանց համար մուտքեր և ելքեր հանդիսացող տարածքների առանձին տեղերում կարող է տեղադրվել գովազդ, եթե այն չի խոչընդոտում ճանապարհային երթևեկության ապահովմանն ու անվտանգությանը և հրապարակների կառուցապատման տեսողական ընկալմանը։</w:t>
      </w:r>
    </w:p>
    <w:p w:rsidR="009E5AFE" w:rsidRPr="0012456C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4.ԳՈՎԱԶԴԻ ԱՌԱՆՁԻՆ ՄԻՋՈՑՆԵՐԻ ՏԵՍԱԿՆԵՐԸ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5. Վահանակային կայանքները (վահանակները) տեղեկատվության համար մակերես նախատեսող կոնստրուկցիաներ են և բաղկացած են հիմքից, հիմնակմախքից (կարկաս) և տեղեկատու դաշտից։</w:t>
      </w:r>
    </w:p>
    <w:p w:rsidR="009E5AFE" w:rsidRPr="0012456C" w:rsidRDefault="009E5AFE" w:rsidP="009E5AFE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Տեղեկատու դաշտի չափի տեսակներն են՝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մեծ չափերի - 3մx4մ, 3մx6մ և այլ չափերի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միջին չափերի - 1.8մx1.2մ, 2մx3մ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փոքր չափերի - 0.6մx0.9մ և ավելի փոքր չափերի.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վահանակներին ներկայացվող պահանջներն են՝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երկկողմանի կատարում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միակողմանի կատարում, որի դեպքում գովազդի հակառակ կողմը պարտադիր դեկորատիվ ձևավորում է.</w:t>
      </w:r>
    </w:p>
    <w:p w:rsidR="009E5AFE" w:rsidRPr="003947EB" w:rsidRDefault="00152A60" w:rsidP="003947EB">
      <w:pPr>
        <w:pStyle w:val="aa"/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9E5AFE" w:rsidRPr="003947EB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 սահմաններում թույլ է տրվում 0.6մx0.9մ, 1.8մx1.2մ, ինչպես նաև 3մx4մ մակերեսով տեղեկատու դաշտով վահանակների տեղադրումը.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հատվածում տեղադրվող տեղեկատու դաշտով գովազդային վահանակի կրող հիմնասյան դիրքը պետք է լինի միայն ուղղահայաց.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5)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6) 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կենտրոնական հատվածից դուրս կարող են լինել 1.8մx 1.2մ, 3մx4մ, 3մx6մ տեղեկատու դաշտով և այլ չափերի վահանակներ.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7) մայրուղիներում և պողոտաներում մեկ ուղղությամբ երկու հարևան վահանակների միջև հեռավորությունը պետք է կազմի առնվազն՝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15քմ – 18քմ և այլ չափերի 150մ-200մ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15 քմ՝ 100մ – 150մ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50մ – 75մ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30մ – 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15մ – 25մ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զ.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 2քմ՝ 10մ – 15մ.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8)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Նեղ փողոցներում և նրբանցքներում մեկ ուղղությամբ երկու հարևան վահանակների միջև եղած հեռավորությունը պետք է կազմի առնվազն՝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12քմ՝ 50մ – 75մ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30մ – 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20մ – 30մ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10մ – 20մ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2քմ՝ 10մ.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9) մասնագիտական փորձաքննություն անցած և համաձայնեցված նախագծերի առկայության դեպքում կարող են օգտագործվել կոնստրուկցիաներ, որոնց տեղադրումը համապատասխանում է մայրուղիների, փողոցների և քաղաքային գոտիների արտաքին ձևավորմանը ներկայացվող պահանջներին։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6.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Շենքերի, շինությունների, ինչպես նաև </w:t>
      </w:r>
      <w:r w:rsidR="00152A60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համայնքի բարեկարգման տարրերի վրա տեղադրվող գովազդի և տեղեկատվության մնայուն միջոցների տեսակներն են.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1) տանիքային կայանքները ծավալային կամ մակերեսային կոնստրուկցիաներ են, որոնք տեղադրվում են ամբողջովին կամ մասամբ՝ շենքի ճակատային մասում կամ տանիքին։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Տանիքային կայանքները բաղկացած են կոնստրուկցիայի կրող մասի ամրակցման տարրերից և տեղեկատու կայանքից։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կայանքները պետք է ունենան հակահրդեհային և հոսանքի վթարային անջատման համակարգ։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Ամրակցման տարրերը, ինչպես նաև կոնստրուկցիայի կրող մասի հակառակ կողմը պետք է ծածկվեն դեկորատիվ պանելով։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դեպքում։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Պատի մեծանկարններ (պաննո) են կոչվում գովազդի այն միջոցները, որոնք տեղադրվում են շինությունների պատերին հետևյալ ձևերով՝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պատկեր (տեղեկատվական դաշտ), որն անմիջապես շերտածածկում է պատը, պատկերի կոնստրուկցիան հավաքվում է ամրակցման տարրերից, հիմնակմախքից և տեղեկատու դաշտից.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պատի մեծանկարները կատարվում են անհատական նախագծի հիման վրա.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պատի մեծանկարները պարտադիր պետք է ունենան համապատասխան փորձաքննություն անցած կոնստրուկցիաների նախագիծ.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պատի մեծանկարների տեղեկատու դաշտի մակերեսը որոշվում է կոնստրուկցիայի կամ անմիջական չափերով։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Բարձակ (կոնսոլային կոնստրուկցիա) են կոչվում երկկողմանի հարթակային վահանակները, որոնք ամրակցվում են կայմասյուններին կամ շենքերի վրա։ Համապատասխան հիմնավորման դեպքում թույլատրվում է բարձակները տեղադրել համայնքային լուսավորման և կոնտակտային ցանցերի կրող կոնստրուկցիաների վրա։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Բարձակները պետք է լինեն երկկողմանի տեսքով և ունենան ներքին լուսավորում։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Հիմքերի վրա (ուղղահայաց) տեղադրվող բարձակների տիպային չափերն են՝     1.8մx1.2մ (մայրուղիների, պողոտաների, հրապարակների համար), 0.6մx0.9մ, 1.0մx0.7մ (նեղ փողոցների և նրբանցքների համար) և ավելի փոքր։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>Շահագործման անվտանգության նպատակով բարձակները տեղադրվում են հողի մակերևույթից ոչ պակաս, քան 3 մետր բարձրության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ab/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 xml:space="preserve">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գ. Հիմքերի վրա տեղադրված բարձակները տեղադրվում են երթևեկելի մասից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lastRenderedPageBreak/>
        <w:t>դուրս՝ մայթի կողմը։ Արգելվում է մեկից ավել բարձակների տեղադրումը մեկ հիմքի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Բարձակի տեղեկատու դաշտի մակերեսը հաշվարկվում է երկու կողմերիընդհանուր մակերեսով։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7.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Կրկնաձիգ գրաժապավենը (տրանսպարանտ) գովազդի տեղեկատվության միջոց է։ Այն բաղկացած է հիմքից, ամրացման սարքավորումից և տեղեկատու պատկերից։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Գրաժապավենների հեռավորությունն իրարից պետք է լինի 50մ-ից ոչ պակաս։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Գրաժապավենների բարձրությունը պետք է լինի երթևեկության գծի համեմատ 5մ-ից ոչ պակաս։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Տեղեկատու դաշտի մակերեսը որոշվում է երկու կողմերի մակերեսով։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8.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Էկրանավորող սարքավորումները գովազդի և տեղեկատվության միջոց են։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Դրանց կոնստրուկցիան ներառում է էկրանավորող (վերարտադրող) սարքավորման մակերես (էկրան) կամ տեղեկատու պատկեր։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 Հարթ պատկերների համար նախատեսված տեղեկատու դաշտի մակերեսը որոշվում է էկրանավորող պատկերի մակերեսով։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9. Գովազդի վահանակների միջև եղած հեռավորությունն ըստ տրանսպորտային միջոցների թույլատրվող արագության պետք է կազմի՝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60 կմ/ժ թույլատրվող արագությամբ փողոցների համար մեկ ուղղությամբ երկու վահանակների միջև հեռավորությունը՝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150մ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15քմ – 100մ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6քմ – 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2քմ – 25մ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60 կմ/ժամ թույլատրվող արագությունից պակաս փողոցների համար մեկ ուղղությամբ երկու հարևան վահանակների միջև հեռավորությունը՝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80-100մ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6քմ – 45-50մ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2քմ – 20-30մ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lastRenderedPageBreak/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10. Գովազդային վահանակների ներքևի եզրը պետք է տեղադրված լինի փողոցի մակերեսից 6մ-ից ոչ պակաս բարձրության վրա։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11.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Հենասյան հիմքերը հողի ծածկույթում պետք է տեղադրվեն քաղաքաշինական նորմերին և շինարարական տեխնոլոգիաներին համապատասխան՝ մեկ ամսվա ընթացքում վերականգնելով սիզամարգի ծածկույթը։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12.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Չափորոշիչներում չնշված և Հայաստանի Հանրապետության կառավարության 2002 թվականի մարտի 19-ի N 270 որոշմամբ հաստատված ցանկում չընդգրկված 2.0 քառակուսի մետրից ավելի մակերեսով ֆիրմային նշանների և գովազդվող տարբեր ապրանքանշանների տեղադրումը թույլատրվում է </w:t>
      </w:r>
      <w:r w:rsidR="00152A60">
        <w:rPr>
          <w:rFonts w:ascii="GHEA Grapalat" w:hAnsi="GHEA Grapalat" w:cs="Courier New"/>
          <w:sz w:val="24"/>
          <w:szCs w:val="24"/>
          <w:lang w:val="hy-AM"/>
        </w:rPr>
        <w:t>Բաղրամյան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համայնքի ղեկավարի որոշմամբ։</w:t>
      </w: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Pr="00F8551A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  <w:r w:rsidRPr="00F8551A">
        <w:rPr>
          <w:rStyle w:val="a8"/>
          <w:color w:val="000000"/>
          <w:sz w:val="22"/>
          <w:szCs w:val="27"/>
          <w:lang w:val="hy-AM"/>
        </w:rPr>
        <w:t>Ձև 1</w:t>
      </w:r>
    </w:p>
    <w:p w:rsidR="009E5AFE" w:rsidRPr="00F8551A" w:rsidRDefault="009E5AFE" w:rsidP="009E5AFE">
      <w:pPr>
        <w:pStyle w:val="a7"/>
        <w:jc w:val="center"/>
        <w:rPr>
          <w:sz w:val="20"/>
          <w:lang w:val="hy-AM"/>
        </w:rPr>
      </w:pPr>
      <w:r w:rsidRPr="00F8551A">
        <w:rPr>
          <w:rStyle w:val="a8"/>
          <w:sz w:val="28"/>
          <w:szCs w:val="36"/>
          <w:lang w:val="hy-AM"/>
        </w:rPr>
        <w:t xml:space="preserve">ԹՈՒՅԼՏՎՈՒԹՅՈՒՆ ԹԻՎ ԱԳ - </w:t>
      </w:r>
    </w:p>
    <w:p w:rsidR="009E5AFE" w:rsidRPr="00F8551A" w:rsidRDefault="00354158" w:rsidP="009E5AFE">
      <w:pPr>
        <w:pStyle w:val="a7"/>
        <w:jc w:val="center"/>
        <w:rPr>
          <w:sz w:val="20"/>
          <w:lang w:val="hy-AM"/>
        </w:rPr>
      </w:pPr>
      <w:r>
        <w:rPr>
          <w:rStyle w:val="a8"/>
          <w:sz w:val="22"/>
          <w:szCs w:val="27"/>
          <w:lang w:val="hy-AM"/>
        </w:rPr>
        <w:t xml:space="preserve">ԲԱՂՐԱՄՅԱՆ </w:t>
      </w:r>
      <w:r w:rsidR="009E5AFE" w:rsidRPr="00F8551A">
        <w:rPr>
          <w:rStyle w:val="a8"/>
          <w:sz w:val="22"/>
          <w:szCs w:val="27"/>
          <w:lang w:val="hy-AM"/>
        </w:rPr>
        <w:t>ՀԱՄԱՅՆՔԻ ՎԱՐՉԱԿԱՆ ՏԱՐԱԾՔՈՒՄ ԱՐՏԱՔԻՆ ԳՈՎԱԶԴ ՏԵՂԱԴՐԵԼՈՒ</w:t>
      </w:r>
    </w:p>
    <w:p w:rsidR="009E5AFE" w:rsidRPr="00F8551A" w:rsidRDefault="009E5AFE" w:rsidP="009E5AFE">
      <w:pPr>
        <w:pStyle w:val="a7"/>
        <w:rPr>
          <w:sz w:val="20"/>
          <w:lang w:val="hy-AM"/>
        </w:rPr>
      </w:pPr>
      <w:r w:rsidRPr="00F8551A">
        <w:rPr>
          <w:sz w:val="22"/>
          <w:szCs w:val="27"/>
          <w:lang w:val="hy-AM"/>
        </w:rPr>
        <w:t>Տրված` «.......</w:t>
      </w:r>
      <w:r w:rsidRPr="00F8551A">
        <w:rPr>
          <w:rFonts w:cs="Courier New"/>
          <w:sz w:val="22"/>
          <w:szCs w:val="27"/>
          <w:lang w:val="hy-AM"/>
        </w:rPr>
        <w:t>»...................................</w:t>
      </w:r>
      <w:r w:rsidRPr="00F8551A">
        <w:rPr>
          <w:rStyle w:val="a9"/>
          <w:bCs/>
          <w:sz w:val="22"/>
          <w:szCs w:val="27"/>
          <w:lang w:val="hy-AM"/>
        </w:rPr>
        <w:t>20......թ.</w:t>
      </w:r>
    </w:p>
    <w:p w:rsidR="009E5AFE" w:rsidRPr="00F8551A" w:rsidRDefault="009E5AFE" w:rsidP="009E5AFE">
      <w:pPr>
        <w:pStyle w:val="a7"/>
        <w:rPr>
          <w:rFonts w:cs="Courier New"/>
          <w:sz w:val="22"/>
          <w:szCs w:val="27"/>
          <w:lang w:val="hy-AM"/>
        </w:rPr>
      </w:pPr>
      <w:r w:rsidRPr="00F8551A">
        <w:rPr>
          <w:sz w:val="22"/>
          <w:szCs w:val="27"/>
          <w:lang w:val="hy-AM"/>
        </w:rPr>
        <w:br/>
        <w:t>Թույլատրված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գործունեության անվանումը`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:rsidR="009E5AFE" w:rsidRPr="00F8551A" w:rsidRDefault="009E5AFE" w:rsidP="009E5AFE">
      <w:pPr>
        <w:pStyle w:val="a7"/>
        <w:jc w:val="both"/>
        <w:rPr>
          <w:rFonts w:cs="Courier New"/>
          <w:sz w:val="22"/>
          <w:szCs w:val="27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sz w:val="22"/>
          <w:szCs w:val="27"/>
          <w:lang w:val="hy-AM"/>
        </w:rPr>
        <w:br/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:rsidR="009E5AFE" w:rsidRPr="00F8551A" w:rsidRDefault="009E5AFE" w:rsidP="009E5AFE">
      <w:pPr>
        <w:pStyle w:val="a7"/>
        <w:spacing w:line="360" w:lineRule="auto"/>
        <w:rPr>
          <w:sz w:val="20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F8551A">
        <w:rPr>
          <w:sz w:val="22"/>
          <w:szCs w:val="27"/>
          <w:lang w:val="hy-AM"/>
        </w:rPr>
        <w:br/>
        <w:t>Գովազդի տեղադրման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վայրը/վայրերը և չափերը (քմ)`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b/>
          <w:bCs/>
          <w:i/>
          <w:iCs/>
          <w:sz w:val="22"/>
          <w:szCs w:val="27"/>
          <w:lang w:val="hy-AM"/>
        </w:rPr>
        <w:br/>
      </w: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F8551A">
        <w:rPr>
          <w:sz w:val="22"/>
          <w:szCs w:val="27"/>
          <w:lang w:val="hy-AM"/>
        </w:rPr>
        <w:br/>
        <w:t>Թույլտվության գործողության ժամկետը`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rFonts w:cs="GHEA Grapalat"/>
          <w:sz w:val="22"/>
          <w:szCs w:val="27"/>
          <w:lang w:val="hy-AM"/>
        </w:rPr>
        <w:br/>
      </w:r>
      <w:r w:rsidRPr="00F8551A">
        <w:rPr>
          <w:sz w:val="22"/>
          <w:szCs w:val="27"/>
          <w:lang w:val="hy-AM"/>
        </w:rPr>
        <w:t>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a9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ից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մինչև 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a9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ը:</w:t>
      </w:r>
    </w:p>
    <w:p w:rsidR="009E5AFE" w:rsidRPr="00F8551A" w:rsidRDefault="009E5AFE" w:rsidP="009E5AFE">
      <w:pPr>
        <w:pStyle w:val="a7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</w:t>
      </w:r>
    </w:p>
    <w:p w:rsidR="009E5AFE" w:rsidRPr="00F8551A" w:rsidRDefault="009E5AFE" w:rsidP="009E5AFE">
      <w:pPr>
        <w:pStyle w:val="a7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 </w:t>
      </w: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  <w:r w:rsidRPr="00F8551A">
        <w:rPr>
          <w:rStyle w:val="a8"/>
          <w:rFonts w:ascii="GHEA Grapalat" w:hAnsi="GHEA Grapalat"/>
          <w:sz w:val="22"/>
          <w:szCs w:val="27"/>
          <w:lang w:val="hy-AM"/>
        </w:rPr>
        <w:t>ՀԱՄԱՅՆՔԻ ՂԵԿԱՎԱՐ</w:t>
      </w:r>
      <w:r w:rsidRPr="00F8551A">
        <w:rPr>
          <w:rStyle w:val="a8"/>
          <w:rFonts w:ascii="Calibri" w:hAnsi="Calibri" w:cs="Calibri"/>
          <w:sz w:val="22"/>
          <w:szCs w:val="27"/>
          <w:lang w:val="hy-AM"/>
        </w:rPr>
        <w:t>                     </w:t>
      </w:r>
      <w:r w:rsidRPr="007D443B">
        <w:rPr>
          <w:rStyle w:val="a8"/>
          <w:rFonts w:ascii="GHEA Grapalat" w:hAnsi="GHEA Grapalat" w:cs="Courier New"/>
          <w:sz w:val="22"/>
          <w:szCs w:val="27"/>
          <w:lang w:val="hy-AM"/>
        </w:rPr>
        <w:t xml:space="preserve">   </w:t>
      </w:r>
      <w:r w:rsidRPr="007D443B">
        <w:rPr>
          <w:rStyle w:val="a8"/>
          <w:rFonts w:ascii="GHEA Grapalat" w:hAnsi="GHEA Grapalat"/>
          <w:sz w:val="22"/>
          <w:szCs w:val="27"/>
          <w:lang w:val="hy-AM"/>
        </w:rPr>
        <w:t>__________</w:t>
      </w: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a7"/>
        <w:jc w:val="right"/>
        <w:rPr>
          <w:rStyle w:val="a8"/>
          <w:color w:val="000000"/>
          <w:sz w:val="22"/>
          <w:szCs w:val="27"/>
          <w:lang w:val="hy-AM"/>
        </w:rPr>
      </w:pPr>
      <w:r>
        <w:rPr>
          <w:rStyle w:val="a8"/>
          <w:color w:val="000000"/>
          <w:sz w:val="22"/>
          <w:szCs w:val="27"/>
          <w:lang w:val="hy-AM"/>
        </w:rPr>
        <w:t xml:space="preserve">Ձև </w:t>
      </w:r>
      <w:r w:rsidRPr="007D443B">
        <w:rPr>
          <w:rStyle w:val="a8"/>
          <w:color w:val="000000"/>
          <w:sz w:val="22"/>
          <w:szCs w:val="27"/>
          <w:lang w:val="hy-AM"/>
        </w:rPr>
        <w:t>2</w:t>
      </w:r>
    </w:p>
    <w:p w:rsidR="009E5AFE" w:rsidRPr="007D443B" w:rsidRDefault="009E5AFE" w:rsidP="009E5AFE">
      <w:pPr>
        <w:pStyle w:val="a7"/>
        <w:jc w:val="center"/>
        <w:rPr>
          <w:rFonts w:cs="Sylfaen"/>
          <w:b/>
          <w:lang w:val="hy-AM"/>
        </w:rPr>
      </w:pPr>
      <w:r w:rsidRPr="00DF084F">
        <w:rPr>
          <w:rFonts w:cs="Sylfaen"/>
          <w:b/>
          <w:lang w:val="hy-AM"/>
        </w:rPr>
        <w:t xml:space="preserve">ԳՈՎԱԶԴԻ </w:t>
      </w:r>
      <w:r w:rsidRPr="007D443B">
        <w:rPr>
          <w:rFonts w:cs="Sylfaen"/>
          <w:b/>
          <w:lang w:val="hy-AM"/>
        </w:rPr>
        <w:t xml:space="preserve">  </w:t>
      </w:r>
      <w:r>
        <w:rPr>
          <w:rFonts w:cs="Sylfaen"/>
          <w:b/>
          <w:lang w:val="hy-AM"/>
        </w:rPr>
        <w:t>ԷՍՔԻԶ</w:t>
      </w: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Pr="00347D40" w:rsidRDefault="009E5AFE" w:rsidP="009E5AFE">
      <w:pPr>
        <w:spacing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9E5AFE" w:rsidRDefault="009E5AFE" w:rsidP="009E5AFE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152A60">
        <w:rPr>
          <w:rFonts w:ascii="GHEA Grapalat" w:hAnsi="GHEA Grapalat"/>
          <w:b/>
          <w:sz w:val="24"/>
          <w:lang w:val="hy-AM"/>
        </w:rPr>
        <w:t>ԲԱՂՐԱՄՅԱՆ</w:t>
      </w:r>
      <w:r w:rsidRPr="009F1797">
        <w:rPr>
          <w:rFonts w:ascii="GHEA Grapalat" w:hAnsi="GHEA Grapalat"/>
          <w:b/>
          <w:sz w:val="24"/>
          <w:lang w:val="hy-AM"/>
        </w:rPr>
        <w:t xml:space="preserve"> ՀԱՄԱՅՆՔԻ ՎԱՐՉԱԿԱՆ ՏԱՐԱԾՔՈՒՄ ԱՐՏԱՔԻՆ ԳՈՎԱԶԴ ՏԵՂԱԴՐԵԼՈՒ ԿԱՐԳՆ ՈՒ ՊԱՅՄԱՆՆԵՐԸ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  <w:r w:rsidR="00152A60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ԱՆՀՐԱԺԵՇՏՈՒԹՅԱՆ                                                       </w:t>
      </w:r>
    </w:p>
    <w:p w:rsidR="009E5AFE" w:rsidRDefault="009E5AFE" w:rsidP="009E5AFE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9F628E">
        <w:rPr>
          <w:rFonts w:ascii="GHEA Grapalat" w:hAnsi="GHEA Grapalat"/>
          <w:sz w:val="24"/>
          <w:szCs w:val="24"/>
          <w:lang w:val="hy-AM"/>
        </w:rPr>
        <w:t>«</w:t>
      </w:r>
      <w:r w:rsidR="00152A60">
        <w:rPr>
          <w:rFonts w:ascii="GHEA Grapalat" w:hAnsi="GHEA Grapalat"/>
          <w:sz w:val="24"/>
          <w:szCs w:val="24"/>
          <w:lang w:val="hy-AM"/>
        </w:rPr>
        <w:t>Բաղրամյան</w:t>
      </w:r>
      <w:r w:rsidR="003947EB" w:rsidRPr="003947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արտաքին գովազդ տեղադրելու կարգն ու պայմանները սահմանելու մասին» </w:t>
      </w:r>
      <w:r w:rsidR="00152A60">
        <w:rPr>
          <w:rFonts w:ascii="GHEA Grapalat" w:hAnsi="GHEA Grapalat"/>
          <w:sz w:val="24"/>
          <w:szCs w:val="24"/>
          <w:lang w:val="hy-AM"/>
        </w:rPr>
        <w:t>Բաղրամյան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ընդունումը պայմանավորված է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41-րդ կետի պահանջներով, համաձայն որի, համայնքի ավագանին </w:t>
      </w:r>
      <w:r w:rsidRPr="00877B2B"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</w:t>
      </w:r>
      <w:r>
        <w:rPr>
          <w:rFonts w:ascii="GHEA Grapalat" w:hAnsi="GHEA Grapalat"/>
          <w:sz w:val="24"/>
          <w:szCs w:val="24"/>
          <w:lang w:val="hy-AM"/>
        </w:rPr>
        <w:t xml:space="preserve"> տեղադրելու կարգն ու պայմանները</w:t>
      </w:r>
      <w:r w:rsidRPr="00877B2B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9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14-րդ կետի համաձայն,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877B2B">
        <w:rPr>
          <w:rFonts w:ascii="GHEA Grapalat" w:hAnsi="GHEA Grapalat"/>
          <w:sz w:val="24"/>
          <w:szCs w:val="24"/>
          <w:lang w:val="hy-AM"/>
        </w:rPr>
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3947E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ab/>
      </w:r>
      <w:r w:rsidRPr="00117A58">
        <w:rPr>
          <w:rFonts w:ascii="GHEA Grapalat" w:hAnsi="GHEA Grapalat"/>
          <w:sz w:val="24"/>
          <w:szCs w:val="24"/>
          <w:lang w:val="hy-AM"/>
        </w:rPr>
        <w:t>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և 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օրենքների համապատասխան հոդվածների իրավահամեմատական վերլուծությունը ցույց է տալիս, որ առաջին հերթին ավագանու կողմից պետք է սահմանվի արտաքին գովազդ տեղադրելու կարգն ու պայմանները, որից հետո և որի հիման վրա, պետք է սահմանվեի համապատասխան տուրքատեսակը: Այս երկու հարաբերությունների կարգավորման հանրագումարում, համայնքի ղեկավարը պետք է տրամադրի համապատասխան թույլտվությունները:</w:t>
      </w:r>
    </w:p>
    <w:p w:rsidR="009E5AFE" w:rsidRDefault="009E5AFE" w:rsidP="003947E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Վերը մեջբերվածից հետևում է,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կարգավորմամբ: </w:t>
      </w:r>
    </w:p>
    <w:p w:rsidR="009E5AFE" w:rsidRDefault="009E5AFE" w:rsidP="003947EB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056E19">
        <w:rPr>
          <w:rFonts w:ascii="GHEA Grapalat" w:hAnsi="GHEA Grapalat"/>
          <w:sz w:val="24"/>
          <w:szCs w:val="24"/>
          <w:lang w:val="hy-AM"/>
        </w:rPr>
        <w:t>«</w:t>
      </w:r>
      <w:r w:rsidR="00152A60">
        <w:rPr>
          <w:rFonts w:ascii="GHEA Grapalat" w:hAnsi="GHEA Grapalat"/>
          <w:sz w:val="24"/>
          <w:szCs w:val="24"/>
          <w:lang w:val="hy-AM"/>
        </w:rPr>
        <w:t>Բաղրամյան</w:t>
      </w:r>
      <w:r w:rsidR="003947EB" w:rsidRPr="003947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E19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արտաքին գովազդ տեղադրելու կարգն ու պայմանները սահմանելու մասին» </w:t>
      </w:r>
      <w:r w:rsidR="00152A60">
        <w:rPr>
          <w:rFonts w:ascii="GHEA Grapalat" w:hAnsi="GHEA Grapalat"/>
          <w:sz w:val="24"/>
          <w:szCs w:val="24"/>
          <w:lang w:val="hy-AM"/>
        </w:rPr>
        <w:t>Բաղրամյան</w:t>
      </w:r>
      <w:r w:rsidRPr="00056E19">
        <w:rPr>
          <w:rFonts w:ascii="GHEA Grapalat" w:hAnsi="GHEA Grapalat"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ամայնքի ավագանու որոշման նախագծով սահմանվում են.</w:t>
      </w:r>
    </w:p>
    <w:p w:rsidR="009E5AFE" w:rsidRPr="00056E19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գովազդի հասկացությունը և նկարագրությունը.</w:t>
      </w:r>
    </w:p>
    <w:p w:rsidR="009E5AFE" w:rsidRPr="00056E19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թույլտվության առանձնահատկությունները.</w:t>
      </w:r>
    </w:p>
    <w:p w:rsidR="009E5AFE" w:rsidRPr="00056E19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թույլտվության տրամադրման ընթացակարգերը.</w:t>
      </w:r>
    </w:p>
    <w:p w:rsidR="009E5AFE" w:rsidRPr="00056E19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Տեղական տուրքի և /կամ/ հողօգտագործման վճարի մուծման կամ հավաքագրման ընթացակարգը.</w:t>
      </w:r>
    </w:p>
    <w:p w:rsidR="009E5AFE" w:rsidRPr="00E83E3C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Գովազդի միջոցները.</w:t>
      </w:r>
    </w:p>
    <w:p w:rsidR="009E5AFE" w:rsidRPr="00E83E3C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պայմանները.</w:t>
      </w:r>
    </w:p>
    <w:p w:rsidR="009E5AFE" w:rsidRPr="00E83E3C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Գովազդի առանձին միջոցների տեսակները.</w:t>
      </w:r>
    </w:p>
    <w:p w:rsidR="009E5AFE" w:rsidRPr="00E83E3C" w:rsidRDefault="009E5AFE" w:rsidP="003947EB">
      <w:pPr>
        <w:pStyle w:val="aa"/>
        <w:numPr>
          <w:ilvl w:val="0"/>
          <w:numId w:val="2"/>
        </w:numPr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 տեղադրելու թույլտվության ձևը և այլն:</w:t>
      </w:r>
    </w:p>
    <w:p w:rsidR="009E5AFE" w:rsidRPr="00804631" w:rsidRDefault="009E5AFE" w:rsidP="003947EB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8551A">
        <w:rPr>
          <w:rFonts w:ascii="GHEA Grapalat" w:hAnsi="GHEA Grapalat"/>
          <w:sz w:val="24"/>
          <w:szCs w:val="24"/>
          <w:lang w:val="ru-RU"/>
        </w:rPr>
        <w:t>«</w:t>
      </w:r>
      <w:r w:rsidR="00152A60">
        <w:rPr>
          <w:rFonts w:ascii="GHEA Grapalat" w:hAnsi="GHEA Grapalat"/>
          <w:sz w:val="24"/>
          <w:szCs w:val="24"/>
        </w:rPr>
        <w:t>Բաղրամյան</w:t>
      </w:r>
      <w:r w:rsidR="003947EB" w:rsidRPr="003947EB">
        <w:rPr>
          <w:rFonts w:ascii="GHEA Grapalat" w:hAnsi="GHEA Grapalat"/>
          <w:sz w:val="24"/>
          <w:szCs w:val="24"/>
          <w:lang w:val="ru-RU"/>
        </w:rPr>
        <w:t xml:space="preserve"> </w:t>
      </w:r>
      <w:r w:rsidRPr="00F8551A">
        <w:rPr>
          <w:rFonts w:ascii="GHEA Grapalat" w:hAnsi="GHEA Grapalat"/>
          <w:sz w:val="24"/>
          <w:szCs w:val="24"/>
          <w:lang w:val="ru-RU"/>
        </w:rPr>
        <w:t xml:space="preserve">համայնքի վարչական տարածքում արտաքին գովազդ տեղադրելու կարգն ու պայմանները սահմանելու մասին» </w:t>
      </w:r>
      <w:r w:rsidR="00152A60">
        <w:rPr>
          <w:rFonts w:ascii="GHEA Grapalat" w:hAnsi="GHEA Grapalat"/>
          <w:sz w:val="24"/>
          <w:szCs w:val="24"/>
        </w:rPr>
        <w:t>Բաղրամյան</w:t>
      </w:r>
      <w:r w:rsidRPr="00F8551A">
        <w:rPr>
          <w:rFonts w:ascii="GHEA Grapalat" w:hAnsi="GHEA Grapalat"/>
          <w:sz w:val="24"/>
          <w:szCs w:val="24"/>
          <w:lang w:val="ru-RU"/>
        </w:rPr>
        <w:t xml:space="preserve"> հա</w:t>
      </w:r>
      <w:r>
        <w:rPr>
          <w:rFonts w:ascii="GHEA Grapalat" w:hAnsi="GHEA Grapalat"/>
          <w:sz w:val="24"/>
          <w:szCs w:val="24"/>
          <w:lang w:val="ru-RU"/>
        </w:rPr>
        <w:t xml:space="preserve">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իրավահարաբերությունները, օրենսդրական հիմքեր կստեղծվեն թե՛ արտաքին գովազդի մասով համայնքի ավագանու կողմից տեղական տուրքի սահմանման և թե՛ համայնքի ղեկավարի կողմից արտաքին գովազդի թույլտվություն տրամադրելու մասերով: </w:t>
      </w:r>
    </w:p>
    <w:sectPr w:rsidR="009E5AFE" w:rsidRPr="00804631" w:rsidSect="00071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41" w:rsidRDefault="00243A41">
      <w:r>
        <w:separator/>
      </w:r>
    </w:p>
  </w:endnote>
  <w:endnote w:type="continuationSeparator" w:id="0">
    <w:p w:rsidR="00243A41" w:rsidRDefault="0024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31" w:rsidRDefault="00243A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41" w:rsidRDefault="00C41C2A">
    <w:pPr>
      <w:pStyle w:val="a5"/>
      <w:jc w:val="right"/>
    </w:pPr>
    <w:r>
      <w:fldChar w:fldCharType="begin"/>
    </w:r>
    <w:r w:rsidR="009E5AFE">
      <w:instrText xml:space="preserve"> PAGE   \* MERGEFORMAT </w:instrText>
    </w:r>
    <w:r>
      <w:fldChar w:fldCharType="separate"/>
    </w:r>
    <w:r w:rsidR="00AC3A0C">
      <w:rPr>
        <w:noProof/>
      </w:rPr>
      <w:t>1</w:t>
    </w:r>
    <w:r>
      <w:fldChar w:fldCharType="end"/>
    </w:r>
  </w:p>
  <w:p w:rsidR="00170D31" w:rsidRDefault="00243A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31" w:rsidRDefault="00243A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41" w:rsidRDefault="00243A41">
      <w:r>
        <w:separator/>
      </w:r>
    </w:p>
  </w:footnote>
  <w:footnote w:type="continuationSeparator" w:id="0">
    <w:p w:rsidR="00243A41" w:rsidRDefault="0024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31" w:rsidRDefault="00243A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31" w:rsidRDefault="00243A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31" w:rsidRDefault="00243A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A65"/>
    <w:rsid w:val="00033FDE"/>
    <w:rsid w:val="00091A8A"/>
    <w:rsid w:val="00152A60"/>
    <w:rsid w:val="001D5600"/>
    <w:rsid w:val="00243A41"/>
    <w:rsid w:val="0024710A"/>
    <w:rsid w:val="002A4DB4"/>
    <w:rsid w:val="00354158"/>
    <w:rsid w:val="00363BDC"/>
    <w:rsid w:val="003947EB"/>
    <w:rsid w:val="004159CA"/>
    <w:rsid w:val="004E4A65"/>
    <w:rsid w:val="005200F1"/>
    <w:rsid w:val="00584AEE"/>
    <w:rsid w:val="00706BA7"/>
    <w:rsid w:val="007D443B"/>
    <w:rsid w:val="008B3150"/>
    <w:rsid w:val="009E5AFE"/>
    <w:rsid w:val="00AC3A0C"/>
    <w:rsid w:val="00B93B35"/>
    <w:rsid w:val="00C41C2A"/>
    <w:rsid w:val="00D05005"/>
    <w:rsid w:val="00D67369"/>
    <w:rsid w:val="00D9145C"/>
    <w:rsid w:val="00DF12C6"/>
    <w:rsid w:val="00E30E8E"/>
    <w:rsid w:val="00E8576B"/>
    <w:rsid w:val="00F3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AF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a8">
    <w:name w:val="Strong"/>
    <w:uiPriority w:val="22"/>
    <w:qFormat/>
    <w:rsid w:val="009E5AFE"/>
    <w:rPr>
      <w:b/>
      <w:bCs/>
    </w:rPr>
  </w:style>
  <w:style w:type="character" w:styleId="a9">
    <w:name w:val="Emphasis"/>
    <w:uiPriority w:val="20"/>
    <w:qFormat/>
    <w:rsid w:val="009E5AFE"/>
    <w:rPr>
      <w:i/>
      <w:iCs/>
    </w:rPr>
  </w:style>
  <w:style w:type="paragraph" w:styleId="aa">
    <w:name w:val="List Paragraph"/>
    <w:basedOn w:val="a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85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76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AF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a8">
    <w:name w:val="Strong"/>
    <w:uiPriority w:val="22"/>
    <w:qFormat/>
    <w:rsid w:val="009E5AFE"/>
    <w:rPr>
      <w:b/>
      <w:bCs/>
    </w:rPr>
  </w:style>
  <w:style w:type="character" w:styleId="a9">
    <w:name w:val="Emphasis"/>
    <w:uiPriority w:val="20"/>
    <w:qFormat/>
    <w:rsid w:val="009E5AFE"/>
    <w:rPr>
      <w:i/>
      <w:iCs/>
    </w:rPr>
  </w:style>
  <w:style w:type="paragraph" w:styleId="aa">
    <w:name w:val="List Paragraph"/>
    <w:basedOn w:val="a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85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76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https://mul2-armavir.gov.am/tasks/216177/oneclick/Artaqin_govazd.docx?token=dc76478e9d2f15721a1d42391ab4156e</cp:keywords>
  <dc:description/>
  <cp:lastModifiedBy>ADMIN</cp:lastModifiedBy>
  <cp:revision>13</cp:revision>
  <cp:lastPrinted>2022-03-15T07:43:00Z</cp:lastPrinted>
  <dcterms:created xsi:type="dcterms:W3CDTF">2021-07-04T10:05:00Z</dcterms:created>
  <dcterms:modified xsi:type="dcterms:W3CDTF">2022-11-28T07:11:00Z</dcterms:modified>
</cp:coreProperties>
</file>